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C3E9" w14:textId="13DA8EBD" w:rsidR="00034026" w:rsidRPr="00D164EF" w:rsidRDefault="004A06C9" w:rsidP="004A06C9">
      <w:pPr>
        <w:jc w:val="center"/>
        <w:rPr>
          <w:b/>
          <w:bCs/>
          <w:sz w:val="28"/>
          <w:szCs w:val="28"/>
        </w:rPr>
      </w:pPr>
      <w:r w:rsidRPr="00D164EF">
        <w:rPr>
          <w:b/>
          <w:bCs/>
          <w:sz w:val="28"/>
          <w:szCs w:val="28"/>
        </w:rPr>
        <w:t>CC 298/18      2018        F.       N0. 2</w:t>
      </w:r>
    </w:p>
    <w:p w14:paraId="42A2A5CD" w14:textId="74BF8BB3" w:rsidR="004A06C9" w:rsidRPr="00D164EF" w:rsidRDefault="004A06C9" w:rsidP="004A06C9">
      <w:pPr>
        <w:rPr>
          <w:b/>
          <w:bCs/>
          <w:sz w:val="28"/>
          <w:szCs w:val="28"/>
        </w:rPr>
      </w:pPr>
    </w:p>
    <w:p w14:paraId="735F573F" w14:textId="529B3F99" w:rsidR="004A06C9" w:rsidRPr="00D164EF" w:rsidRDefault="004A06C9" w:rsidP="004A06C9">
      <w:pPr>
        <w:rPr>
          <w:b/>
          <w:bCs/>
          <w:sz w:val="28"/>
          <w:szCs w:val="28"/>
        </w:rPr>
      </w:pPr>
      <w:r w:rsidRPr="00D164EF">
        <w:rPr>
          <w:b/>
          <w:bCs/>
          <w:sz w:val="28"/>
          <w:szCs w:val="28"/>
        </w:rPr>
        <w:t>Between:</w:t>
      </w:r>
    </w:p>
    <w:p w14:paraId="28E3A3FB" w14:textId="16CFEF46" w:rsidR="004A06C9" w:rsidRPr="00D164EF" w:rsidRDefault="004A06C9" w:rsidP="004A06C9">
      <w:pPr>
        <w:rPr>
          <w:b/>
          <w:bCs/>
          <w:sz w:val="28"/>
          <w:szCs w:val="28"/>
        </w:rPr>
      </w:pPr>
      <w:r w:rsidRPr="00D164EF">
        <w:rPr>
          <w:b/>
          <w:bCs/>
          <w:sz w:val="28"/>
          <w:szCs w:val="28"/>
        </w:rPr>
        <w:t>Joseph Anthony Fobi</w:t>
      </w:r>
      <w:r w:rsidR="00B637A9" w:rsidRPr="00D164EF">
        <w:rPr>
          <w:b/>
          <w:bCs/>
          <w:sz w:val="28"/>
          <w:szCs w:val="28"/>
        </w:rPr>
        <w:t>e        --                                   Plaintiff/Respondent</w:t>
      </w:r>
    </w:p>
    <w:p w14:paraId="75BD0BBB" w14:textId="7077EEBB" w:rsidR="00B637A9" w:rsidRPr="00D164EF" w:rsidRDefault="00B637A9" w:rsidP="004A06C9">
      <w:pPr>
        <w:rPr>
          <w:b/>
          <w:bCs/>
          <w:sz w:val="28"/>
          <w:szCs w:val="28"/>
        </w:rPr>
      </w:pPr>
    </w:p>
    <w:p w14:paraId="440E680E" w14:textId="5CD835A1" w:rsidR="00B637A9" w:rsidRPr="00D164EF" w:rsidRDefault="00B637A9" w:rsidP="004A06C9">
      <w:pPr>
        <w:rPr>
          <w:b/>
          <w:bCs/>
          <w:sz w:val="28"/>
          <w:szCs w:val="28"/>
        </w:rPr>
      </w:pPr>
      <w:r w:rsidRPr="00D164EF">
        <w:rPr>
          <w:b/>
          <w:bCs/>
          <w:sz w:val="28"/>
          <w:szCs w:val="28"/>
        </w:rPr>
        <w:t xml:space="preserve">And </w:t>
      </w:r>
    </w:p>
    <w:p w14:paraId="6D8E51A7" w14:textId="07DF70A7" w:rsidR="00B637A9" w:rsidRPr="00D164EF" w:rsidRDefault="00B637A9" w:rsidP="004A06C9">
      <w:pPr>
        <w:rPr>
          <w:b/>
          <w:bCs/>
          <w:sz w:val="28"/>
          <w:szCs w:val="28"/>
        </w:rPr>
      </w:pPr>
    </w:p>
    <w:p w14:paraId="21F1693F" w14:textId="559B2EAC" w:rsidR="00B637A9" w:rsidRPr="00D164EF" w:rsidRDefault="00B637A9" w:rsidP="004A06C9">
      <w:pPr>
        <w:rPr>
          <w:b/>
          <w:bCs/>
          <w:sz w:val="28"/>
          <w:szCs w:val="28"/>
        </w:rPr>
      </w:pPr>
      <w:r w:rsidRPr="00D164EF">
        <w:rPr>
          <w:b/>
          <w:bCs/>
          <w:sz w:val="28"/>
          <w:szCs w:val="28"/>
        </w:rPr>
        <w:t>Kadiatu Kamara           --                                          Defendant/ Applicant</w:t>
      </w:r>
    </w:p>
    <w:p w14:paraId="037A58A8" w14:textId="77777777" w:rsidR="00B637A9" w:rsidRPr="00D164EF" w:rsidRDefault="00B637A9" w:rsidP="004A06C9">
      <w:pPr>
        <w:rPr>
          <w:b/>
          <w:bCs/>
          <w:sz w:val="28"/>
          <w:szCs w:val="28"/>
        </w:rPr>
      </w:pPr>
    </w:p>
    <w:p w14:paraId="05DE57A2" w14:textId="07A7DDAE" w:rsidR="00B637A9" w:rsidRPr="00D164EF" w:rsidRDefault="00B637A9" w:rsidP="004A06C9">
      <w:pPr>
        <w:rPr>
          <w:b/>
          <w:bCs/>
          <w:sz w:val="28"/>
          <w:szCs w:val="28"/>
        </w:rPr>
      </w:pPr>
      <w:r w:rsidRPr="00D164EF">
        <w:rPr>
          <w:b/>
          <w:bCs/>
          <w:sz w:val="28"/>
          <w:szCs w:val="28"/>
        </w:rPr>
        <w:t>Counsel:</w:t>
      </w:r>
    </w:p>
    <w:p w14:paraId="4DF01BF9" w14:textId="6EE13550" w:rsidR="00B637A9" w:rsidRPr="00D164EF" w:rsidRDefault="00B637A9" w:rsidP="004A06C9">
      <w:pPr>
        <w:rPr>
          <w:b/>
          <w:bCs/>
          <w:sz w:val="28"/>
          <w:szCs w:val="28"/>
        </w:rPr>
      </w:pPr>
      <w:r w:rsidRPr="00D164EF">
        <w:rPr>
          <w:b/>
          <w:bCs/>
          <w:sz w:val="28"/>
          <w:szCs w:val="28"/>
        </w:rPr>
        <w:t>C. Taylor-Young Esq. for the Applicant</w:t>
      </w:r>
    </w:p>
    <w:p w14:paraId="50C73187" w14:textId="5D6EF7C7" w:rsidR="00B637A9" w:rsidRPr="00D164EF" w:rsidRDefault="00B637A9" w:rsidP="004A06C9">
      <w:pPr>
        <w:rPr>
          <w:b/>
          <w:bCs/>
          <w:sz w:val="28"/>
          <w:szCs w:val="28"/>
        </w:rPr>
      </w:pPr>
      <w:r w:rsidRPr="00D164EF">
        <w:rPr>
          <w:b/>
          <w:bCs/>
          <w:sz w:val="28"/>
          <w:szCs w:val="28"/>
        </w:rPr>
        <w:t>S. M. Tarawally Esq. for the Respondent</w:t>
      </w:r>
    </w:p>
    <w:p w14:paraId="05247945" w14:textId="179FA056" w:rsidR="00B637A9" w:rsidRPr="00D164EF" w:rsidRDefault="00B637A9" w:rsidP="004A06C9">
      <w:pPr>
        <w:rPr>
          <w:b/>
          <w:bCs/>
          <w:sz w:val="28"/>
          <w:szCs w:val="28"/>
        </w:rPr>
      </w:pPr>
    </w:p>
    <w:p w14:paraId="61D6C6C0" w14:textId="408C3F32" w:rsidR="00B637A9" w:rsidRDefault="00B637A9" w:rsidP="004A06C9">
      <w:pPr>
        <w:rPr>
          <w:b/>
          <w:bCs/>
          <w:sz w:val="28"/>
          <w:szCs w:val="28"/>
          <w:u w:val="single"/>
        </w:rPr>
      </w:pPr>
      <w:r w:rsidRPr="00D164EF">
        <w:rPr>
          <w:b/>
          <w:bCs/>
          <w:sz w:val="28"/>
          <w:szCs w:val="28"/>
          <w:u w:val="single"/>
        </w:rPr>
        <w:t>Ruling on an Application for</w:t>
      </w:r>
      <w:r w:rsidR="003E7425">
        <w:rPr>
          <w:b/>
          <w:bCs/>
          <w:sz w:val="28"/>
          <w:szCs w:val="28"/>
          <w:u w:val="single"/>
        </w:rPr>
        <w:t xml:space="preserve"> </w:t>
      </w:r>
      <w:r w:rsidR="00C51266">
        <w:rPr>
          <w:b/>
          <w:bCs/>
          <w:sz w:val="28"/>
          <w:szCs w:val="28"/>
          <w:u w:val="single"/>
        </w:rPr>
        <w:t xml:space="preserve">the </w:t>
      </w:r>
      <w:r w:rsidR="003E7425">
        <w:rPr>
          <w:b/>
          <w:bCs/>
          <w:sz w:val="28"/>
          <w:szCs w:val="28"/>
          <w:u w:val="single"/>
        </w:rPr>
        <w:t>Restoration of</w:t>
      </w:r>
      <w:r w:rsidR="00FC28F9">
        <w:rPr>
          <w:b/>
          <w:bCs/>
          <w:sz w:val="28"/>
          <w:szCs w:val="28"/>
          <w:u w:val="single"/>
        </w:rPr>
        <w:t xml:space="preserve"> the Further</w:t>
      </w:r>
      <w:r w:rsidR="003E7425">
        <w:rPr>
          <w:b/>
          <w:bCs/>
          <w:sz w:val="28"/>
          <w:szCs w:val="28"/>
          <w:u w:val="single"/>
        </w:rPr>
        <w:t xml:space="preserve"> Summons for Direction</w:t>
      </w:r>
      <w:r w:rsidR="00906592">
        <w:rPr>
          <w:b/>
          <w:bCs/>
          <w:sz w:val="28"/>
          <w:szCs w:val="28"/>
          <w:u w:val="single"/>
        </w:rPr>
        <w:t>,</w:t>
      </w:r>
      <w:r w:rsidRPr="00D164EF">
        <w:rPr>
          <w:b/>
          <w:bCs/>
          <w:sz w:val="28"/>
          <w:szCs w:val="28"/>
          <w:u w:val="single"/>
        </w:rPr>
        <w:t xml:space="preserve"> a Leave to Serve a </w:t>
      </w:r>
      <w:r w:rsidR="00D164EF" w:rsidRPr="00D164EF">
        <w:rPr>
          <w:b/>
          <w:bCs/>
          <w:sz w:val="28"/>
          <w:szCs w:val="28"/>
          <w:u w:val="single"/>
        </w:rPr>
        <w:t>Third-Party</w:t>
      </w:r>
      <w:r w:rsidRPr="00D164EF">
        <w:rPr>
          <w:b/>
          <w:bCs/>
          <w:sz w:val="28"/>
          <w:szCs w:val="28"/>
          <w:u w:val="single"/>
        </w:rPr>
        <w:t xml:space="preserve"> Notice to a Stranger</w:t>
      </w:r>
      <w:r w:rsidR="00906592">
        <w:rPr>
          <w:b/>
          <w:bCs/>
          <w:sz w:val="28"/>
          <w:szCs w:val="28"/>
          <w:u w:val="single"/>
        </w:rPr>
        <w:t>,</w:t>
      </w:r>
      <w:r w:rsidRPr="00D164EF">
        <w:rPr>
          <w:b/>
          <w:bCs/>
          <w:sz w:val="28"/>
          <w:szCs w:val="28"/>
          <w:u w:val="single"/>
        </w:rPr>
        <w:t xml:space="preserve"> </w:t>
      </w:r>
      <w:r w:rsidR="00D164EF" w:rsidRPr="00D164EF">
        <w:rPr>
          <w:b/>
          <w:bCs/>
          <w:sz w:val="28"/>
          <w:szCs w:val="28"/>
          <w:u w:val="single"/>
        </w:rPr>
        <w:t>in a Circumstance</w:t>
      </w:r>
      <w:r w:rsidRPr="00D164EF">
        <w:rPr>
          <w:b/>
          <w:bCs/>
          <w:sz w:val="28"/>
          <w:szCs w:val="28"/>
          <w:u w:val="single"/>
        </w:rPr>
        <w:t xml:space="preserve"> </w:t>
      </w:r>
      <w:r w:rsidR="00D164EF" w:rsidRPr="00D164EF">
        <w:rPr>
          <w:b/>
          <w:bCs/>
          <w:sz w:val="28"/>
          <w:szCs w:val="28"/>
          <w:u w:val="single"/>
        </w:rPr>
        <w:t>Wherein the Matter has Already been Set Down for Trial and the First Factual Witness is Being Led in Evidence</w:t>
      </w:r>
      <w:r w:rsidR="00227A8B">
        <w:rPr>
          <w:b/>
          <w:bCs/>
          <w:sz w:val="28"/>
          <w:szCs w:val="28"/>
          <w:u w:val="single"/>
        </w:rPr>
        <w:t>, Delivered by The Hon. Dr. Justice Abou B.M. Binneh-Kamara</w:t>
      </w:r>
      <w:r w:rsidR="00906592">
        <w:rPr>
          <w:b/>
          <w:bCs/>
          <w:sz w:val="28"/>
          <w:szCs w:val="28"/>
          <w:u w:val="single"/>
        </w:rPr>
        <w:t>, on 29</w:t>
      </w:r>
      <w:r w:rsidR="00906592" w:rsidRPr="00906592">
        <w:rPr>
          <w:b/>
          <w:bCs/>
          <w:sz w:val="28"/>
          <w:szCs w:val="28"/>
          <w:u w:val="single"/>
          <w:vertAlign w:val="superscript"/>
        </w:rPr>
        <w:t>th</w:t>
      </w:r>
      <w:r w:rsidR="00906592">
        <w:rPr>
          <w:b/>
          <w:bCs/>
          <w:sz w:val="28"/>
          <w:szCs w:val="28"/>
          <w:u w:val="single"/>
        </w:rPr>
        <w:t xml:space="preserve"> October, 2019.</w:t>
      </w:r>
    </w:p>
    <w:p w14:paraId="259F2F72" w14:textId="77777777" w:rsidR="00D164EF" w:rsidRDefault="00D164EF" w:rsidP="004A06C9">
      <w:pPr>
        <w:rPr>
          <w:b/>
          <w:bCs/>
          <w:sz w:val="28"/>
          <w:szCs w:val="28"/>
          <w:u w:val="single"/>
        </w:rPr>
      </w:pPr>
    </w:p>
    <w:p w14:paraId="15EB3AC9" w14:textId="164F4F7D" w:rsidR="00D164EF" w:rsidRPr="00D164EF" w:rsidRDefault="00D164EF" w:rsidP="004A06C9">
      <w:pPr>
        <w:rPr>
          <w:b/>
          <w:bCs/>
          <w:sz w:val="28"/>
          <w:szCs w:val="28"/>
          <w:u w:val="single"/>
        </w:rPr>
      </w:pPr>
      <w:r>
        <w:rPr>
          <w:b/>
          <w:bCs/>
          <w:sz w:val="28"/>
          <w:szCs w:val="28"/>
          <w:u w:val="single"/>
        </w:rPr>
        <w:t>1.1 The Application and the Response Thereto.</w:t>
      </w:r>
    </w:p>
    <w:p w14:paraId="258A8C84" w14:textId="5B9E3C35" w:rsidR="00B637A9" w:rsidRPr="00FC28F9" w:rsidRDefault="00D164EF" w:rsidP="005866F6">
      <w:pPr>
        <w:jc w:val="both"/>
        <w:rPr>
          <w:sz w:val="28"/>
          <w:szCs w:val="28"/>
        </w:rPr>
      </w:pPr>
      <w:r w:rsidRPr="00FC28F9">
        <w:rPr>
          <w:sz w:val="28"/>
          <w:szCs w:val="28"/>
        </w:rPr>
        <w:t xml:space="preserve">This ruling is predicated on an application made by C. Taylor-Young Esq. (Counsel for the </w:t>
      </w:r>
      <w:r w:rsidR="003E7425" w:rsidRPr="00FC28F9">
        <w:rPr>
          <w:sz w:val="28"/>
          <w:szCs w:val="28"/>
        </w:rPr>
        <w:t>Defendant/Applicant) on the 2</w:t>
      </w:r>
      <w:r w:rsidR="003E7425" w:rsidRPr="00FC28F9">
        <w:rPr>
          <w:sz w:val="28"/>
          <w:szCs w:val="28"/>
          <w:vertAlign w:val="superscript"/>
        </w:rPr>
        <w:t>nd</w:t>
      </w:r>
      <w:r w:rsidR="003E7425" w:rsidRPr="00FC28F9">
        <w:rPr>
          <w:sz w:val="28"/>
          <w:szCs w:val="28"/>
        </w:rPr>
        <w:t xml:space="preserve"> day of July, 2019 for the following orders:</w:t>
      </w:r>
    </w:p>
    <w:p w14:paraId="45247EE0" w14:textId="6A651B72" w:rsidR="001152CD" w:rsidRPr="001152CD" w:rsidRDefault="003E7425" w:rsidP="005866F6">
      <w:pPr>
        <w:pStyle w:val="ListParagraph"/>
        <w:numPr>
          <w:ilvl w:val="0"/>
          <w:numId w:val="1"/>
        </w:numPr>
        <w:jc w:val="both"/>
        <w:rPr>
          <w:sz w:val="28"/>
          <w:szCs w:val="28"/>
        </w:rPr>
      </w:pPr>
      <w:r w:rsidRPr="00FC28F9">
        <w:rPr>
          <w:sz w:val="28"/>
          <w:szCs w:val="28"/>
        </w:rPr>
        <w:t>That</w:t>
      </w:r>
      <w:r w:rsidR="00FC28F9" w:rsidRPr="00FC28F9">
        <w:rPr>
          <w:sz w:val="28"/>
          <w:szCs w:val="28"/>
        </w:rPr>
        <w:t xml:space="preserve"> this Honourable Court restores the summons for further direction.</w:t>
      </w:r>
    </w:p>
    <w:p w14:paraId="72118F08" w14:textId="43DACA64" w:rsidR="001152CD" w:rsidRPr="001152CD" w:rsidRDefault="00FC28F9" w:rsidP="005866F6">
      <w:pPr>
        <w:pStyle w:val="ListParagraph"/>
        <w:numPr>
          <w:ilvl w:val="0"/>
          <w:numId w:val="1"/>
        </w:numPr>
        <w:jc w:val="both"/>
        <w:rPr>
          <w:sz w:val="28"/>
          <w:szCs w:val="28"/>
        </w:rPr>
      </w:pPr>
      <w:r w:rsidRPr="001152CD">
        <w:rPr>
          <w:sz w:val="28"/>
          <w:szCs w:val="28"/>
        </w:rPr>
        <w:t xml:space="preserve">That leave by granted by this Honourable </w:t>
      </w:r>
      <w:r w:rsidR="001152CD" w:rsidRPr="001152CD">
        <w:rPr>
          <w:sz w:val="28"/>
          <w:szCs w:val="28"/>
        </w:rPr>
        <w:t>Court for the</w:t>
      </w:r>
      <w:r w:rsidR="001152CD">
        <w:rPr>
          <w:sz w:val="28"/>
          <w:szCs w:val="28"/>
        </w:rPr>
        <w:t xml:space="preserve"> </w:t>
      </w:r>
      <w:r w:rsidR="001152CD" w:rsidRPr="001152CD">
        <w:rPr>
          <w:sz w:val="28"/>
          <w:szCs w:val="28"/>
        </w:rPr>
        <w:t>Defendant/Applicant</w:t>
      </w:r>
      <w:r w:rsidRPr="001152CD">
        <w:rPr>
          <w:sz w:val="28"/>
          <w:szCs w:val="28"/>
        </w:rPr>
        <w:t xml:space="preserve"> to file and serve a Third- Party Notice on Mr. Dauda Kamara whose address is at N0. 20 Johnny Paul Drive </w:t>
      </w:r>
      <w:r w:rsidR="001152CD" w:rsidRPr="001152CD">
        <w:rPr>
          <w:sz w:val="28"/>
          <w:szCs w:val="28"/>
        </w:rPr>
        <w:t xml:space="preserve">Juba, Freetown in the Western Area of the Republic of </w:t>
      </w:r>
      <w:r w:rsidR="001152CD" w:rsidRPr="001152CD">
        <w:rPr>
          <w:sz w:val="28"/>
          <w:szCs w:val="28"/>
        </w:rPr>
        <w:lastRenderedPageBreak/>
        <w:t>Sierra Leone, pursuant to Order 19 of the High Court Rules, 2007 (hereinafter referred to as the HCR, 2007).</w:t>
      </w:r>
    </w:p>
    <w:p w14:paraId="3CDC5EC6" w14:textId="47278E36" w:rsidR="001152CD" w:rsidRDefault="001152CD" w:rsidP="003E7425">
      <w:pPr>
        <w:pStyle w:val="ListParagraph"/>
        <w:numPr>
          <w:ilvl w:val="0"/>
          <w:numId w:val="1"/>
        </w:numPr>
        <w:rPr>
          <w:sz w:val="28"/>
          <w:szCs w:val="28"/>
        </w:rPr>
      </w:pPr>
      <w:r>
        <w:rPr>
          <w:sz w:val="28"/>
          <w:szCs w:val="28"/>
        </w:rPr>
        <w:t>That Dauda Kamara, upon service of the Third-Party Notice, be made a party to this action.</w:t>
      </w:r>
    </w:p>
    <w:p w14:paraId="53877E77" w14:textId="23DF0F6A" w:rsidR="001152CD" w:rsidRDefault="001152CD" w:rsidP="003E7425">
      <w:pPr>
        <w:pStyle w:val="ListParagraph"/>
        <w:numPr>
          <w:ilvl w:val="0"/>
          <w:numId w:val="1"/>
        </w:numPr>
        <w:rPr>
          <w:sz w:val="28"/>
          <w:szCs w:val="28"/>
        </w:rPr>
      </w:pPr>
      <w:r>
        <w:rPr>
          <w:sz w:val="28"/>
          <w:szCs w:val="28"/>
        </w:rPr>
        <w:t>Any further order that this Honourable Court deems fit.</w:t>
      </w:r>
    </w:p>
    <w:p w14:paraId="602D687F" w14:textId="1DFFC179" w:rsidR="00AB38EE" w:rsidRPr="00C51266" w:rsidRDefault="001152CD" w:rsidP="00C51266">
      <w:pPr>
        <w:pStyle w:val="FootnoteText"/>
        <w:jc w:val="both"/>
      </w:pPr>
      <w:r>
        <w:rPr>
          <w:sz w:val="28"/>
          <w:szCs w:val="28"/>
        </w:rPr>
        <w:t>Meanwhile, the aforementioned application is supported by the affidavit of Nasiru Deen Alhadi Esq. sworn to and dated 2</w:t>
      </w:r>
      <w:r w:rsidRPr="001152CD">
        <w:rPr>
          <w:sz w:val="28"/>
          <w:szCs w:val="28"/>
          <w:vertAlign w:val="superscript"/>
        </w:rPr>
        <w:t>nd</w:t>
      </w:r>
      <w:r>
        <w:rPr>
          <w:sz w:val="28"/>
          <w:szCs w:val="28"/>
        </w:rPr>
        <w:t xml:space="preserve"> July, </w:t>
      </w:r>
      <w:r w:rsidR="005866F6">
        <w:rPr>
          <w:sz w:val="28"/>
          <w:szCs w:val="28"/>
        </w:rPr>
        <w:t>2019. Even though this Honourable Court would have discountenanced this application</w:t>
      </w:r>
      <w:r w:rsidR="00C51266">
        <w:rPr>
          <w:sz w:val="28"/>
          <w:szCs w:val="28"/>
        </w:rPr>
        <w:t xml:space="preserve"> (</w:t>
      </w:r>
      <w:r w:rsidR="00C51266" w:rsidRPr="00C51266">
        <w:rPr>
          <w:sz w:val="28"/>
          <w:szCs w:val="28"/>
        </w:rPr>
        <w:t>see Sub rule (1) of Rule 2 of The HCR, 2007)</w:t>
      </w:r>
      <w:r w:rsidR="005866F6">
        <w:rPr>
          <w:sz w:val="28"/>
          <w:szCs w:val="28"/>
        </w:rPr>
        <w:t xml:space="preserve"> had it been made exparte, Counsel for the Defendant/Applicant, thought it procedurally legal and expedient</w:t>
      </w:r>
      <w:r>
        <w:rPr>
          <w:sz w:val="28"/>
          <w:szCs w:val="28"/>
        </w:rPr>
        <w:t xml:space="preserve"> </w:t>
      </w:r>
      <w:r w:rsidR="006E5D67">
        <w:rPr>
          <w:sz w:val="28"/>
          <w:szCs w:val="28"/>
        </w:rPr>
        <w:t>that the requisite notice be served on the Plaintiff/Respondent. Contrariwise, Counsel for the Plaintiff/Respondent (S.M. Tarawally Esq.) argued that it would make no difference, should this Honourable Court even in the most extreme of circumstances decide to make Dauda Kamara a party to this action</w:t>
      </w:r>
      <w:r w:rsidR="00AB38EE">
        <w:rPr>
          <w:sz w:val="28"/>
          <w:szCs w:val="28"/>
        </w:rPr>
        <w:t>; noting that the Defendant/Applicant’s conveyance, which is Exhibit NDA4, has shown her root of title. Counsel further submitted that the Defendant/Applicant’s title deed, which is now part of the Court’s records, shows that the said Dauda Kamara, acquired title to the disputed land on the 8</w:t>
      </w:r>
      <w:r w:rsidR="00AB38EE" w:rsidRPr="00AB38EE">
        <w:rPr>
          <w:sz w:val="28"/>
          <w:szCs w:val="28"/>
          <w:vertAlign w:val="superscript"/>
        </w:rPr>
        <w:t>th</w:t>
      </w:r>
      <w:r w:rsidR="00AB38EE">
        <w:rPr>
          <w:sz w:val="28"/>
          <w:szCs w:val="28"/>
        </w:rPr>
        <w:t xml:space="preserve"> day of May, 1992.</w:t>
      </w:r>
    </w:p>
    <w:p w14:paraId="77119CCE" w14:textId="77777777" w:rsidR="001E0222" w:rsidRDefault="001E0222" w:rsidP="005866F6">
      <w:pPr>
        <w:jc w:val="both"/>
        <w:rPr>
          <w:b/>
          <w:bCs/>
          <w:sz w:val="28"/>
          <w:szCs w:val="28"/>
          <w:u w:val="single"/>
        </w:rPr>
      </w:pPr>
      <w:r w:rsidRPr="001E0222">
        <w:rPr>
          <w:b/>
          <w:bCs/>
          <w:sz w:val="28"/>
          <w:szCs w:val="28"/>
          <w:u w:val="single"/>
        </w:rPr>
        <w:t>1.2 The Analysis</w:t>
      </w:r>
      <w:r>
        <w:rPr>
          <w:b/>
          <w:bCs/>
          <w:sz w:val="28"/>
          <w:szCs w:val="28"/>
          <w:u w:val="single"/>
        </w:rPr>
        <w:t>.</w:t>
      </w:r>
    </w:p>
    <w:p w14:paraId="30AFF1F8" w14:textId="25825B37" w:rsidR="00EE5D8D" w:rsidRDefault="001E0222" w:rsidP="005866F6">
      <w:pPr>
        <w:jc w:val="both"/>
        <w:rPr>
          <w:sz w:val="28"/>
          <w:szCs w:val="28"/>
        </w:rPr>
      </w:pPr>
      <w:r>
        <w:rPr>
          <w:sz w:val="28"/>
          <w:szCs w:val="28"/>
        </w:rPr>
        <w:t xml:space="preserve">Notwithstanding the foregoing submissions of Counsel for the Plaintiff/Respondent, the affidavit in support of the application (particularly paragraphs 6, 7 and 8), establishes the need for Mr. Dauda Kamara of N0.20 Johnny Paul Drive, Juba, Freetown, in the Western Area of the Republic of Sierra Leone, to be made a party to this action. More importantly, the </w:t>
      </w:r>
      <w:r w:rsidR="00EE5D8D">
        <w:rPr>
          <w:sz w:val="28"/>
          <w:szCs w:val="28"/>
        </w:rPr>
        <w:t>evidential value of the testimony that has so far been elicited from the first factual witness in this action, points to the extent to which this matter can hardly be fairly determined, without making the said person a party to this action, because his testimony might be crucial to the outcome of this matter. Be that as it may, Orders 1, 2 and 3 are hereby granted. Further, I will make no order as to cost. The foregoing Orders are principally granted, because the application dovetails with the provisions of Rules 1, 2 and 3 of Order 19 of The HCR, 2007</w:t>
      </w:r>
      <w:r w:rsidR="00227A8B">
        <w:rPr>
          <w:sz w:val="28"/>
          <w:szCs w:val="28"/>
        </w:rPr>
        <w:t>.</w:t>
      </w:r>
    </w:p>
    <w:p w14:paraId="160DE00F" w14:textId="77777777" w:rsidR="00227A8B" w:rsidRDefault="00227A8B" w:rsidP="005866F6">
      <w:pPr>
        <w:jc w:val="both"/>
        <w:rPr>
          <w:sz w:val="28"/>
          <w:szCs w:val="28"/>
        </w:rPr>
      </w:pPr>
    </w:p>
    <w:p w14:paraId="534C3288" w14:textId="77777777" w:rsidR="00C51266" w:rsidRDefault="00C51266" w:rsidP="005866F6">
      <w:pPr>
        <w:jc w:val="both"/>
        <w:rPr>
          <w:sz w:val="28"/>
          <w:szCs w:val="28"/>
        </w:rPr>
      </w:pPr>
    </w:p>
    <w:p w14:paraId="14F20D46" w14:textId="643EABA8" w:rsidR="00227A8B" w:rsidRDefault="00227A8B" w:rsidP="005866F6">
      <w:pPr>
        <w:jc w:val="both"/>
        <w:rPr>
          <w:sz w:val="28"/>
          <w:szCs w:val="28"/>
        </w:rPr>
      </w:pPr>
      <w:r>
        <w:rPr>
          <w:sz w:val="28"/>
          <w:szCs w:val="28"/>
        </w:rPr>
        <w:lastRenderedPageBreak/>
        <w:t>The Hon. Dr. Justice A. Binneh-Kamara, J.</w:t>
      </w:r>
    </w:p>
    <w:p w14:paraId="187F26DC" w14:textId="6CAF767C" w:rsidR="00227A8B" w:rsidRDefault="00227A8B" w:rsidP="005866F6">
      <w:pPr>
        <w:jc w:val="both"/>
        <w:rPr>
          <w:sz w:val="28"/>
          <w:szCs w:val="28"/>
        </w:rPr>
      </w:pPr>
      <w:r>
        <w:rPr>
          <w:sz w:val="28"/>
          <w:szCs w:val="28"/>
        </w:rPr>
        <w:t xml:space="preserve">Justice of Sierra Leone’s Superior Court of Judicature </w:t>
      </w:r>
    </w:p>
    <w:p w14:paraId="53EAF482" w14:textId="77777777" w:rsidR="00EE5D8D" w:rsidRDefault="00EE5D8D" w:rsidP="005866F6">
      <w:pPr>
        <w:jc w:val="both"/>
        <w:rPr>
          <w:sz w:val="28"/>
          <w:szCs w:val="28"/>
        </w:rPr>
      </w:pPr>
    </w:p>
    <w:p w14:paraId="36CC93C7" w14:textId="68E27D39" w:rsidR="006E5D67" w:rsidRPr="001E0222" w:rsidRDefault="00EE5D8D" w:rsidP="005866F6">
      <w:pPr>
        <w:jc w:val="both"/>
        <w:rPr>
          <w:b/>
          <w:bCs/>
          <w:sz w:val="28"/>
          <w:szCs w:val="28"/>
          <w:u w:val="single"/>
        </w:rPr>
      </w:pPr>
      <w:r>
        <w:rPr>
          <w:sz w:val="28"/>
          <w:szCs w:val="28"/>
        </w:rPr>
        <w:t xml:space="preserve">   </w:t>
      </w:r>
      <w:r w:rsidR="006E5D67" w:rsidRPr="001E0222">
        <w:rPr>
          <w:b/>
          <w:bCs/>
          <w:sz w:val="28"/>
          <w:szCs w:val="28"/>
          <w:u w:val="single"/>
        </w:rPr>
        <w:t xml:space="preserve">  </w:t>
      </w:r>
    </w:p>
    <w:p w14:paraId="6078B2D1" w14:textId="6561C00D" w:rsidR="003E7425" w:rsidRPr="001E0222" w:rsidRDefault="00FC28F9" w:rsidP="005866F6">
      <w:pPr>
        <w:pStyle w:val="ListParagraph"/>
        <w:jc w:val="both"/>
        <w:rPr>
          <w:b/>
          <w:bCs/>
          <w:sz w:val="28"/>
          <w:szCs w:val="28"/>
          <w:u w:val="single"/>
        </w:rPr>
      </w:pPr>
      <w:r w:rsidRPr="001E0222">
        <w:rPr>
          <w:b/>
          <w:bCs/>
          <w:sz w:val="28"/>
          <w:szCs w:val="28"/>
          <w:u w:val="single"/>
        </w:rPr>
        <w:t xml:space="preserve"> </w:t>
      </w:r>
      <w:r w:rsidR="003E7425" w:rsidRPr="001E0222">
        <w:rPr>
          <w:b/>
          <w:bCs/>
          <w:sz w:val="28"/>
          <w:szCs w:val="28"/>
          <w:u w:val="single"/>
        </w:rPr>
        <w:t xml:space="preserve"> </w:t>
      </w:r>
    </w:p>
    <w:sectPr w:rsidR="003E7425" w:rsidRPr="001E0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D859" w14:textId="77777777" w:rsidR="00BE4E95" w:rsidRDefault="00BE4E95" w:rsidP="005866F6">
      <w:pPr>
        <w:spacing w:after="0" w:line="240" w:lineRule="auto"/>
      </w:pPr>
      <w:r>
        <w:separator/>
      </w:r>
    </w:p>
  </w:endnote>
  <w:endnote w:type="continuationSeparator" w:id="0">
    <w:p w14:paraId="169974F8" w14:textId="77777777" w:rsidR="00BE4E95" w:rsidRDefault="00BE4E95" w:rsidP="0058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41B4" w14:textId="77777777" w:rsidR="00BE4E95" w:rsidRDefault="00BE4E95" w:rsidP="005866F6">
      <w:pPr>
        <w:spacing w:after="0" w:line="240" w:lineRule="auto"/>
      </w:pPr>
      <w:r>
        <w:separator/>
      </w:r>
    </w:p>
  </w:footnote>
  <w:footnote w:type="continuationSeparator" w:id="0">
    <w:p w14:paraId="6BB836E8" w14:textId="77777777" w:rsidR="00BE4E95" w:rsidRDefault="00BE4E95" w:rsidP="00586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115D2"/>
    <w:multiLevelType w:val="hybridMultilevel"/>
    <w:tmpl w:val="BCD6D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C9"/>
    <w:rsid w:val="00034026"/>
    <w:rsid w:val="00083A91"/>
    <w:rsid w:val="001152CD"/>
    <w:rsid w:val="001E0222"/>
    <w:rsid w:val="00227A8B"/>
    <w:rsid w:val="002D7021"/>
    <w:rsid w:val="003A702E"/>
    <w:rsid w:val="003E7425"/>
    <w:rsid w:val="004A06C9"/>
    <w:rsid w:val="005866F6"/>
    <w:rsid w:val="006E5D67"/>
    <w:rsid w:val="00906592"/>
    <w:rsid w:val="00AB38EE"/>
    <w:rsid w:val="00B2027B"/>
    <w:rsid w:val="00B637A9"/>
    <w:rsid w:val="00BE2592"/>
    <w:rsid w:val="00BE4E95"/>
    <w:rsid w:val="00BF04A7"/>
    <w:rsid w:val="00C51266"/>
    <w:rsid w:val="00D164EF"/>
    <w:rsid w:val="00EE5D8D"/>
    <w:rsid w:val="00FC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4F2E"/>
  <w15:chartTrackingRefBased/>
  <w15:docId w15:val="{8B281EC2-83DF-408B-A05E-2CBDEDF9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425"/>
    <w:pPr>
      <w:ind w:left="720"/>
      <w:contextualSpacing/>
    </w:pPr>
  </w:style>
  <w:style w:type="paragraph" w:styleId="FootnoteText">
    <w:name w:val="footnote text"/>
    <w:basedOn w:val="Normal"/>
    <w:link w:val="FootnoteTextChar"/>
    <w:uiPriority w:val="99"/>
    <w:unhideWhenUsed/>
    <w:rsid w:val="005866F6"/>
    <w:pPr>
      <w:spacing w:after="0" w:line="240" w:lineRule="auto"/>
    </w:pPr>
    <w:rPr>
      <w:sz w:val="20"/>
      <w:szCs w:val="20"/>
    </w:rPr>
  </w:style>
  <w:style w:type="character" w:customStyle="1" w:styleId="FootnoteTextChar">
    <w:name w:val="Footnote Text Char"/>
    <w:basedOn w:val="DefaultParagraphFont"/>
    <w:link w:val="FootnoteText"/>
    <w:uiPriority w:val="99"/>
    <w:rsid w:val="005866F6"/>
    <w:rPr>
      <w:sz w:val="20"/>
      <w:szCs w:val="20"/>
    </w:rPr>
  </w:style>
  <w:style w:type="character" w:styleId="FootnoteReference">
    <w:name w:val="footnote reference"/>
    <w:basedOn w:val="DefaultParagraphFont"/>
    <w:uiPriority w:val="99"/>
    <w:semiHidden/>
    <w:unhideWhenUsed/>
    <w:rsid w:val="00586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3965-3860-4E89-B3C8-90F6E905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BINNEH KAMARA</dc:creator>
  <cp:keywords/>
  <dc:description/>
  <cp:lastModifiedBy>BINNEH KAMARA</cp:lastModifiedBy>
  <cp:revision>2</cp:revision>
  <dcterms:created xsi:type="dcterms:W3CDTF">2022-03-24T20:18:00Z</dcterms:created>
  <dcterms:modified xsi:type="dcterms:W3CDTF">2022-03-24T20:18:00Z</dcterms:modified>
</cp:coreProperties>
</file>